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BF9EC"/>
  <w:body>
    <w:p w14:paraId="0EA4A089" w14:textId="77777777" w:rsidR="00D72265" w:rsidRPr="00D72265" w:rsidRDefault="00D72265" w:rsidP="00D72265">
      <w:pPr>
        <w:jc w:val="both"/>
        <w:rPr>
          <w:rFonts w:ascii="Gill Sans MT" w:eastAsia="Times New Roman" w:hAnsi="Gill Sans MT"/>
          <w:b/>
          <w:bCs/>
          <w:color w:val="000000"/>
          <w:sz w:val="40"/>
          <w:szCs w:val="40"/>
          <w:lang w:val="en-GB" w:eastAsia="fr-FR"/>
        </w:rPr>
      </w:pPr>
      <w:r w:rsidRPr="00D72265">
        <w:rPr>
          <w:rFonts w:ascii="Gill Sans MT" w:eastAsia="Times New Roman" w:hAnsi="Gill Sans MT"/>
          <w:b/>
          <w:bCs/>
          <w:color w:val="000000"/>
          <w:sz w:val="40"/>
          <w:szCs w:val="40"/>
          <w:lang w:val="en-GB" w:eastAsia="fr-FR"/>
        </w:rPr>
        <w:t>All For Rwanda – Reaction to the United Nations Group of Experts’ Report on the Democratic Republic of the Congo (late 2025)</w:t>
      </w:r>
    </w:p>
    <w:p w14:paraId="5CAF6B21"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All For Rwanda takes note of the publication of the 2025–2026 midterm report of the United Nations Group of Experts on the Democratic Republic of the Congo, a reference document on the security and humanitarian dynamics prevailing in eastern DRC.</w:t>
      </w:r>
    </w:p>
    <w:p w14:paraId="50ADB624"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 xml:space="preserve">All For Rwanda notes that this report clearly and </w:t>
      </w:r>
      <w:proofErr w:type="spellStart"/>
      <w:r w:rsidRPr="00D72265">
        <w:rPr>
          <w:rFonts w:ascii="Gill Sans MT" w:eastAsia="Times New Roman" w:hAnsi="Gill Sans MT"/>
          <w:color w:val="000000"/>
          <w:lang w:val="en-GB" w:eastAsia="fr-FR"/>
        </w:rPr>
        <w:t>substantiatedly</w:t>
      </w:r>
      <w:proofErr w:type="spellEnd"/>
      <w:r w:rsidRPr="00D72265">
        <w:rPr>
          <w:rFonts w:ascii="Gill Sans MT" w:eastAsia="Times New Roman" w:hAnsi="Gill Sans MT"/>
          <w:color w:val="000000"/>
          <w:lang w:val="en-GB" w:eastAsia="fr-FR"/>
        </w:rPr>
        <w:t xml:space="preserve"> confirms elements that our movement has consistently brought to the attention of national and international stakeholders, both publicly and through diplomatic engagements: Hutu civilian populations — including Rwandan refugees and Congolese communities — are among the primary victims of the conflict, exposed to repeated violence, forced displacement, destruction of livelihoods, and chronic insecurity.</w:t>
      </w:r>
    </w:p>
    <w:p w14:paraId="33316529"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The report highlights a central finding: the insufficient distinction between security objectives and civilian populations has contributed to placing these communities in a situation of extreme vulnerability, despite their civilian status, their long-standing presence on Congolese territory, and their lack of involvement in current armed dynamics.</w:t>
      </w:r>
    </w:p>
    <w:p w14:paraId="0902A6D2"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The Group of Experts further underscores that the deliberate and systematic targeting of civilian populations associated, in real or perceived terms, with security issues, particularly when it disproportionately affects an identifiable civilian group, may constitute, under international humanitarian law, a war crime or even a crime against humanity. These findings warrant particular attention and call for a response grounded in the rule of law and the protection of civilians.</w:t>
      </w:r>
    </w:p>
    <w:p w14:paraId="45C6805C"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All For Rwanda recalls that it has repeatedly warned of the foreseeable consequences of an excessively security-driven approach, insufficiently articulated around civilian protection and international refugee law. The Group of Experts’ report now objectively substantiates these warnings and calls for a pragmatic, responsible, and legally grounded reassessment of existing frameworks of action.</w:t>
      </w:r>
    </w:p>
    <w:p w14:paraId="6B371A7E"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In this context, All For Rwanda emphasizes that the Washington Agreement represents a significant diplomatic achievement, made possible by the decisive engagement of the United States, which proved essential in containing military escalation and reopening political space. This engagement remains indispensable, both for the implementation of the agreement and for its targeted adjustment, in light of the realities established by the United Nations.</w:t>
      </w:r>
    </w:p>
    <w:p w14:paraId="3C004225"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It is now necessary that the momentum generated in Washington more explicitly integrate the situation of affected civilian populations, particularly Rwandan Hutu civilian refugees and Congolese Hutu civilian communities, as a central humanitarian and political issue.</w:t>
      </w:r>
    </w:p>
    <w:p w14:paraId="70F64E58"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All For Rwanda is convinced that neither lasting peace nor the stabilization required to fully unlock the region’s economic and commercial potential can be achieved without a specific, distinct, and structured approach to the issue of Rwandan civilian refugees, based on their protection as a non-combatant population and on addressing the political factors that continue to obstruct their return.</w:t>
      </w:r>
    </w:p>
    <w:p w14:paraId="34287C0F" w14:textId="77777777" w:rsidR="00D72265" w:rsidRPr="00D72265" w:rsidRDefault="00D72265" w:rsidP="00D72265">
      <w:pPr>
        <w:jc w:val="both"/>
        <w:rPr>
          <w:rFonts w:ascii="Gill Sans MT" w:eastAsia="Times New Roman" w:hAnsi="Gill Sans MT"/>
          <w:color w:val="000000"/>
          <w:lang w:val="fr-BE" w:eastAsia="fr-FR"/>
        </w:rPr>
      </w:pPr>
      <w:r w:rsidRPr="00D72265">
        <w:rPr>
          <w:rFonts w:ascii="Gill Sans MT" w:eastAsia="Times New Roman" w:hAnsi="Gill Sans MT"/>
          <w:color w:val="000000"/>
          <w:lang w:val="fr-BE" w:eastAsia="fr-FR"/>
        </w:rPr>
        <w:pict w14:anchorId="7C9C2E2E">
          <v:rect id="_x0000_i1031" style="width:0;height:1.5pt" o:hralign="center" o:hrstd="t" o:hr="t" fillcolor="#a0a0a0" stroked="f"/>
        </w:pict>
      </w:r>
    </w:p>
    <w:p w14:paraId="102C091E" w14:textId="77777777" w:rsidR="00D72265" w:rsidRPr="00AF30C8" w:rsidRDefault="00D72265" w:rsidP="00D72265">
      <w:pPr>
        <w:jc w:val="both"/>
        <w:rPr>
          <w:rFonts w:ascii="Gill Sans MT" w:eastAsia="Times New Roman" w:hAnsi="Gill Sans MT"/>
          <w:b/>
          <w:bCs/>
          <w:color w:val="000000"/>
          <w:u w:val="single"/>
          <w:lang w:val="en-GB" w:eastAsia="fr-FR"/>
        </w:rPr>
      </w:pPr>
      <w:r w:rsidRPr="00AF30C8">
        <w:rPr>
          <w:rFonts w:ascii="Gill Sans MT" w:eastAsia="Times New Roman" w:hAnsi="Gill Sans MT"/>
          <w:b/>
          <w:bCs/>
          <w:color w:val="000000"/>
          <w:u w:val="single"/>
          <w:lang w:val="en-GB" w:eastAsia="fr-FR"/>
        </w:rPr>
        <w:lastRenderedPageBreak/>
        <w:t>Operational Recommendations</w:t>
      </w:r>
    </w:p>
    <w:p w14:paraId="04668A2F"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In a constructive spirit and in full compatibility with the framework of the Washington Agreement, All For Rwanda puts forward the following recommendations:</w:t>
      </w:r>
    </w:p>
    <w:p w14:paraId="6CCFEF15"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1. Formally integrate the situation of Rwandan Hutu civilian refugees into the monitoring mechanisms of the Washington Agreement, as a complementary humanitarian and political pillar, in order to ensure the relevance, effectiveness, and sustainability of the existing framework, recognizing that an approach based exclusively on the military neutralization of “FDLR and associated groups” is, on its own, insufficient to produce durable stabilization.</w:t>
      </w:r>
    </w:p>
    <w:p w14:paraId="0013F9CF"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2. Ensure the effective and immediate implementation of the existing United Nations Security Council sanctions regime relating to the Democratic Republic of the Congo, on the basis of the facts established and documented by the United Nations Group of Experts, and in parallel, engage the competent international bodies to conduct specific, independent, and impartial investigations aimed at completing the establishment of individual responsibility and strengthening the prevention of future violations.</w:t>
      </w:r>
    </w:p>
    <w:p w14:paraId="1963335F"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3. Call upon the United Nations High Commissioner for Refugees (UNHCR) to cease any practice or support that may amount to forced or coerced returns of Rwandan refugees from the Democratic Republic of the Congo to Rwanda, and to strictly reaffirm respect for the principle of non-refoulement. Any return initiative must be based exclusively on voluntariness, effective safety, and dignity, in accordance with international refugee law.</w:t>
      </w:r>
    </w:p>
    <w:p w14:paraId="7A3733C9" w14:textId="77777777" w:rsidR="00D72265" w:rsidRDefault="00D72265" w:rsidP="00D72265">
      <w:pPr>
        <w:spacing w:after="0"/>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4. Establish a structured and consultative mechanism with representatives of Rwandan refugees, mandated to work on:</w:t>
      </w:r>
    </w:p>
    <w:p w14:paraId="0B29F9E5" w14:textId="77777777" w:rsidR="00D72265" w:rsidRDefault="00D72265" w:rsidP="00D72265">
      <w:pPr>
        <w:pStyle w:val="Paragraphedeliste"/>
        <w:numPr>
          <w:ilvl w:val="0"/>
          <w:numId w:val="6"/>
        </w:num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the political, legal, and security-related concerns that obstruct their return;</w:t>
      </w:r>
    </w:p>
    <w:p w14:paraId="0DB68DB2" w14:textId="7891C470" w:rsidR="00D72265" w:rsidRPr="00D72265" w:rsidRDefault="00D72265" w:rsidP="00D72265">
      <w:pPr>
        <w:pStyle w:val="Paragraphedeliste"/>
        <w:numPr>
          <w:ilvl w:val="0"/>
          <w:numId w:val="6"/>
        </w:num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the conditions for a large-scale, voluntary, safe, and dignified return, based on credible guarantees.</w:t>
      </w:r>
    </w:p>
    <w:p w14:paraId="2F66A00E" w14:textId="77777777" w:rsidR="00D72265" w:rsidRPr="00D72265" w:rsidRDefault="00D72265" w:rsidP="00D72265">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5. Deploy specific and targeted humanitarian assistance for affected Rwandan Hutu civilian refugees and Congolese Hutu civilian communities, adapted to the protracted nature of their situation and coordinated with the relevant agencies.</w:t>
      </w:r>
    </w:p>
    <w:p w14:paraId="5614CC61" w14:textId="6EEA6FBB" w:rsidR="004730E4" w:rsidRPr="00D72265" w:rsidRDefault="00D72265" w:rsidP="004730E4">
      <w:pPr>
        <w:jc w:val="both"/>
        <w:rPr>
          <w:rFonts w:ascii="Gill Sans MT" w:eastAsia="Times New Roman" w:hAnsi="Gill Sans MT"/>
          <w:color w:val="000000"/>
          <w:lang w:val="en-GB" w:eastAsia="fr-FR"/>
        </w:rPr>
      </w:pPr>
      <w:r w:rsidRPr="00D72265">
        <w:rPr>
          <w:rFonts w:ascii="Gill Sans MT" w:eastAsia="Times New Roman" w:hAnsi="Gill Sans MT"/>
          <w:color w:val="000000"/>
          <w:lang w:val="en-GB" w:eastAsia="fr-FR"/>
        </w:rPr>
        <w:t>All For Rwanda reaffirms its readiness to contribute, in a responsible and solution-oriented manner, to ongoing efforts. The recognition and protection of Rwandan Hutu civilian refugees and Congolese Hutu civilian communities constitute an indispensable condition for the credibility and durability of any peace process.</w:t>
      </w:r>
    </w:p>
    <w:p w14:paraId="2E4CE39D" w14:textId="77777777" w:rsidR="00D72265" w:rsidRPr="0076337D" w:rsidRDefault="00D72265" w:rsidP="004730E4">
      <w:pPr>
        <w:jc w:val="both"/>
        <w:rPr>
          <w:rFonts w:ascii="Gill Sans MT" w:eastAsia="Times New Roman" w:hAnsi="Gill Sans MT"/>
          <w:color w:val="000000"/>
          <w:lang w:val="en-GB" w:eastAsia="fr-FR"/>
        </w:rPr>
      </w:pPr>
    </w:p>
    <w:p w14:paraId="138BC246" w14:textId="73A8B4A5" w:rsidR="00162969" w:rsidRDefault="00162969" w:rsidP="00162969">
      <w:pPr>
        <w:jc w:val="center"/>
        <w:rPr>
          <w:rFonts w:ascii="Gill Sans MT" w:eastAsia="Times New Roman" w:hAnsi="Gill Sans MT"/>
          <w:b/>
          <w:bCs/>
          <w:color w:val="000000"/>
          <w:lang w:val="en-GB" w:eastAsia="fr-FR"/>
        </w:rPr>
      </w:pPr>
      <w:r w:rsidRPr="0076337D">
        <w:rPr>
          <w:rFonts w:ascii="Gill Sans MT" w:eastAsia="Times New Roman" w:hAnsi="Gill Sans MT"/>
          <w:b/>
          <w:bCs/>
          <w:color w:val="000000"/>
          <w:lang w:val="en-GB" w:eastAsia="fr-FR"/>
        </w:rPr>
        <w:t>ALL FOR RWANDA</w:t>
      </w:r>
    </w:p>
    <w:p w14:paraId="3A349D4D" w14:textId="77777777" w:rsidR="00AF30C8" w:rsidRDefault="00AF30C8" w:rsidP="00162969">
      <w:pPr>
        <w:jc w:val="center"/>
        <w:rPr>
          <w:rFonts w:ascii="Gill Sans MT" w:eastAsia="Times New Roman" w:hAnsi="Gill Sans MT"/>
          <w:b/>
          <w:bCs/>
          <w:color w:val="000000"/>
          <w:lang w:val="en-GB" w:eastAsia="fr-FR"/>
        </w:rPr>
      </w:pPr>
    </w:p>
    <w:p w14:paraId="3FA77C99" w14:textId="77777777" w:rsidR="00AF30C8" w:rsidRDefault="00AF30C8" w:rsidP="00162969">
      <w:pPr>
        <w:jc w:val="center"/>
        <w:rPr>
          <w:rFonts w:ascii="Gill Sans MT" w:eastAsia="Times New Roman" w:hAnsi="Gill Sans MT"/>
          <w:b/>
          <w:bCs/>
          <w:color w:val="000000"/>
          <w:lang w:val="en-GB" w:eastAsia="fr-FR"/>
        </w:rPr>
      </w:pPr>
    </w:p>
    <w:p w14:paraId="46B4C5F8" w14:textId="77777777" w:rsidR="00AF30C8" w:rsidRPr="0076337D" w:rsidRDefault="00AF30C8" w:rsidP="00162969">
      <w:pPr>
        <w:jc w:val="center"/>
        <w:rPr>
          <w:rFonts w:ascii="Gill Sans MT" w:eastAsia="Times New Roman" w:hAnsi="Gill Sans MT"/>
          <w:b/>
          <w:bCs/>
          <w:color w:val="000000"/>
          <w:lang w:val="en-GB" w:eastAsia="fr-FR"/>
        </w:rPr>
      </w:pPr>
    </w:p>
    <w:p w14:paraId="4DA4ECD6" w14:textId="77777777" w:rsidR="00162969" w:rsidRPr="0076337D" w:rsidRDefault="00162969" w:rsidP="00162969">
      <w:pPr>
        <w:spacing w:after="0"/>
        <w:jc w:val="both"/>
        <w:rPr>
          <w:rFonts w:ascii="Gill Sans MT" w:eastAsia="Times New Roman" w:hAnsi="Gill Sans MT"/>
          <w:i/>
          <w:iCs/>
          <w:color w:val="000000"/>
          <w:u w:val="single"/>
          <w:lang w:val="en-GB" w:eastAsia="fr-FR"/>
        </w:rPr>
      </w:pPr>
      <w:r w:rsidRPr="0076337D">
        <w:rPr>
          <w:rFonts w:ascii="Gill Sans MT" w:eastAsia="Times New Roman" w:hAnsi="Gill Sans MT"/>
          <w:i/>
          <w:iCs/>
          <w:color w:val="000000"/>
          <w:u w:val="single"/>
          <w:lang w:val="en-GB" w:eastAsia="fr-FR"/>
        </w:rPr>
        <w:t>For any further inquiries, please contact:</w:t>
      </w:r>
    </w:p>
    <w:p w14:paraId="4B1EBEF5" w14:textId="77777777" w:rsidR="00162969" w:rsidRPr="0076337D" w:rsidRDefault="00162969" w:rsidP="00162969">
      <w:pPr>
        <w:spacing w:after="0"/>
        <w:jc w:val="both"/>
        <w:rPr>
          <w:rFonts w:ascii="Gill Sans MT" w:eastAsia="Times New Roman" w:hAnsi="Gill Sans MT"/>
          <w:i/>
          <w:iCs/>
          <w:color w:val="000000"/>
          <w:lang w:val="en-GB" w:eastAsia="fr-FR"/>
        </w:rPr>
      </w:pPr>
      <w:r w:rsidRPr="0076337D">
        <w:rPr>
          <w:rFonts w:ascii="Gill Sans MT" w:eastAsia="Times New Roman" w:hAnsi="Gill Sans MT"/>
          <w:i/>
          <w:iCs/>
          <w:color w:val="000000"/>
          <w:lang w:val="en-GB" w:eastAsia="fr-FR"/>
        </w:rPr>
        <w:t>Norman Ishimwe Sinamenye (Coordinator of the Humanitarian and Human Rights Division of All For Rwanda)</w:t>
      </w:r>
    </w:p>
    <w:p w14:paraId="1761408A" w14:textId="0C515DD2" w:rsidR="006B7688" w:rsidRPr="0076337D" w:rsidRDefault="000E057B" w:rsidP="00251680">
      <w:pPr>
        <w:pStyle w:val="NormalWeb"/>
        <w:spacing w:before="0" w:beforeAutospacing="0" w:after="0" w:afterAutospacing="0" w:line="360" w:lineRule="auto"/>
        <w:ind w:left="284"/>
        <w:rPr>
          <w:rFonts w:ascii="Gill Sans MT" w:hAnsi="Gill Sans MT"/>
          <w:i/>
          <w:iCs/>
          <w:sz w:val="22"/>
          <w:szCs w:val="22"/>
        </w:rPr>
      </w:pPr>
      <w:hyperlink r:id="rId7" w:tgtFrame="_new" w:history="1">
        <w:r w:rsidRPr="0076337D">
          <w:rPr>
            <w:rStyle w:val="Lienhypertexte"/>
            <w:rFonts w:ascii="Gill Sans MT" w:eastAsia="Lucida Sans Unicode" w:hAnsi="Gill Sans MT"/>
            <w:i/>
            <w:iCs/>
            <w:color w:val="000000"/>
            <w:sz w:val="22"/>
            <w:szCs w:val="22"/>
            <w:u w:val="none"/>
          </w:rPr>
          <w:t>norman.sinamenye@jamboasbl.com</w:t>
        </w:r>
      </w:hyperlink>
    </w:p>
    <w:sectPr w:rsidR="006B7688" w:rsidRPr="0076337D" w:rsidSect="004730E4">
      <w:headerReference w:type="default" r:id="rId8"/>
      <w:footerReference w:type="default" r:id="rId9"/>
      <w:pgSz w:w="11906" w:h="16838"/>
      <w:pgMar w:top="99"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A490" w14:textId="77777777" w:rsidR="00B542E6" w:rsidRDefault="00B542E6">
      <w:pPr>
        <w:spacing w:after="0" w:line="240" w:lineRule="auto"/>
      </w:pPr>
      <w:r>
        <w:separator/>
      </w:r>
    </w:p>
  </w:endnote>
  <w:endnote w:type="continuationSeparator" w:id="0">
    <w:p w14:paraId="50F7AF89" w14:textId="77777777" w:rsidR="00B542E6" w:rsidRDefault="00B5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88DE" w14:textId="6C3C11A4" w:rsidR="006A0EDE" w:rsidRPr="000E3DD8" w:rsidRDefault="006A0EDE" w:rsidP="006A0EDE">
    <w:pPr>
      <w:pStyle w:val="Pieddepage"/>
    </w:pPr>
  </w:p>
  <w:tbl>
    <w:tblPr>
      <w:tblStyle w:val="Grilledutableau"/>
      <w:tblW w:w="0" w:type="auto"/>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3248"/>
    </w:tblGrid>
    <w:tr w:rsidR="00206EF7" w:rsidRPr="0055494C" w14:paraId="15D2992E" w14:textId="77777777" w:rsidTr="0055494C">
      <w:trPr>
        <w:trHeight w:val="284"/>
      </w:trPr>
      <w:tc>
        <w:tcPr>
          <w:tcW w:w="658" w:type="dxa"/>
          <w:vAlign w:val="center"/>
        </w:tcPr>
        <w:p w14:paraId="02CB15D9" w14:textId="5E5AE413" w:rsidR="00206EF7" w:rsidRPr="0055494C" w:rsidRDefault="00206EF7" w:rsidP="0055494C">
          <w:pPr>
            <w:pStyle w:val="Pieddepage"/>
            <w:spacing w:after="0" w:line="240" w:lineRule="auto"/>
            <w:jc w:val="center"/>
            <w:rPr>
              <w:rFonts w:ascii="Gill Sans MT" w:hAnsi="Gill Sans MT"/>
              <w:b/>
              <w:bCs/>
              <w:color w:val="0E805F"/>
            </w:rPr>
          </w:pPr>
          <w:r w:rsidRPr="0055494C">
            <w:rPr>
              <w:rFonts w:ascii="Gill Sans MT" w:hAnsi="Gill Sans MT"/>
              <w:b/>
              <w:bCs/>
              <w:noProof/>
              <w:color w:val="0E805F"/>
              <w:lang w:eastAsia="fr-FR"/>
            </w:rPr>
            <w:drawing>
              <wp:inline distT="0" distB="0" distL="0" distR="0" wp14:anchorId="7C7F3ED6" wp14:editId="66A19842">
                <wp:extent cx="288000" cy="288000"/>
                <wp:effectExtent l="0" t="0" r="0" b="0"/>
                <wp:docPr id="1238605323" name="Picture 138497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stretch>
                          <a:fillRect/>
                        </a:stretch>
                      </pic:blipFill>
                      <pic:spPr>
                        <a:xfrm>
                          <a:off x="0" y="0"/>
                          <a:ext cx="288000" cy="288000"/>
                        </a:xfrm>
                        <a:prstGeom prst="rect">
                          <a:avLst/>
                        </a:prstGeom>
                      </pic:spPr>
                    </pic:pic>
                  </a:graphicData>
                </a:graphic>
              </wp:inline>
            </w:drawing>
          </w:r>
        </w:p>
      </w:tc>
      <w:tc>
        <w:tcPr>
          <w:tcW w:w="2461" w:type="dxa"/>
          <w:vAlign w:val="center"/>
        </w:tcPr>
        <w:p w14:paraId="1A99B572" w14:textId="78E66C4B" w:rsidR="00206EF7" w:rsidRPr="0055494C" w:rsidRDefault="00206EF7" w:rsidP="0055494C">
          <w:pPr>
            <w:pStyle w:val="Pieddepage"/>
            <w:spacing w:after="0" w:line="240" w:lineRule="auto"/>
            <w:rPr>
              <w:rFonts w:ascii="Gill Sans MT" w:hAnsi="Gill Sans MT"/>
              <w:b/>
              <w:bCs/>
              <w:color w:val="0E805F"/>
            </w:rPr>
          </w:pPr>
          <w:r w:rsidRPr="0055494C">
            <w:rPr>
              <w:rFonts w:ascii="Gill Sans MT" w:hAnsi="Gill Sans MT"/>
              <w:b/>
              <w:bCs/>
              <w:color w:val="0E805F"/>
            </w:rPr>
            <w:t>allforrwanda.org</w:t>
          </w:r>
        </w:p>
      </w:tc>
    </w:tr>
    <w:tr w:rsidR="00206EF7" w:rsidRPr="0055494C" w14:paraId="1D288696" w14:textId="77777777" w:rsidTr="00D81AC1">
      <w:trPr>
        <w:trHeight w:val="284"/>
      </w:trPr>
      <w:tc>
        <w:tcPr>
          <w:tcW w:w="658" w:type="dxa"/>
        </w:tcPr>
        <w:p w14:paraId="7C03FAC9" w14:textId="6A14EA97" w:rsidR="00206EF7" w:rsidRPr="0055494C" w:rsidRDefault="00206EF7" w:rsidP="00D81AC1">
          <w:pPr>
            <w:pStyle w:val="Pieddepage"/>
            <w:spacing w:after="0" w:line="240" w:lineRule="auto"/>
            <w:jc w:val="center"/>
            <w:rPr>
              <w:rFonts w:ascii="Gill Sans MT" w:hAnsi="Gill Sans MT"/>
              <w:b/>
              <w:bCs/>
              <w:color w:val="0E805F"/>
            </w:rPr>
          </w:pPr>
          <w:r w:rsidRPr="0055494C">
            <w:rPr>
              <w:rFonts w:ascii="Gill Sans MT" w:hAnsi="Gill Sans MT"/>
              <w:b/>
              <w:bCs/>
              <w:noProof/>
              <w:color w:val="0E805F"/>
              <w:lang w:eastAsia="fr-FR"/>
            </w:rPr>
            <w:drawing>
              <wp:inline distT="0" distB="0" distL="0" distR="0" wp14:anchorId="3F789340" wp14:editId="743EA4D4">
                <wp:extent cx="288000" cy="288000"/>
                <wp:effectExtent l="0" t="0" r="0" b="0"/>
                <wp:docPr id="1878505966" name="Graphic 80841476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Email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8000" cy="288000"/>
                        </a:xfrm>
                        <a:prstGeom prst="rect">
                          <a:avLst/>
                        </a:prstGeom>
                      </pic:spPr>
                    </pic:pic>
                  </a:graphicData>
                </a:graphic>
              </wp:inline>
            </w:drawing>
          </w:r>
        </w:p>
      </w:tc>
      <w:tc>
        <w:tcPr>
          <w:tcW w:w="2461" w:type="dxa"/>
          <w:vAlign w:val="center"/>
        </w:tcPr>
        <w:p w14:paraId="4B4B271E" w14:textId="0C5B5BF5" w:rsidR="00206EF7" w:rsidRPr="0055494C" w:rsidRDefault="00936EB5" w:rsidP="0055494C">
          <w:pPr>
            <w:pStyle w:val="Pieddepage"/>
            <w:spacing w:after="0" w:line="240" w:lineRule="auto"/>
            <w:rPr>
              <w:rFonts w:ascii="Gill Sans MT" w:hAnsi="Gill Sans MT"/>
              <w:b/>
              <w:bCs/>
              <w:color w:val="0E805F"/>
            </w:rPr>
          </w:pPr>
          <w:r>
            <w:rPr>
              <w:rFonts w:ascii="Gill Sans MT" w:hAnsi="Gill Sans MT"/>
              <w:b/>
              <w:bCs/>
              <w:color w:val="0E805F"/>
            </w:rPr>
            <w:t>secretariat</w:t>
          </w:r>
          <w:r w:rsidR="00206EF7" w:rsidRPr="0055494C">
            <w:rPr>
              <w:rFonts w:ascii="Gill Sans MT" w:hAnsi="Gill Sans MT"/>
              <w:b/>
              <w:bCs/>
              <w:color w:val="0E805F"/>
            </w:rPr>
            <w:t>@allforrwanda.org</w:t>
          </w:r>
        </w:p>
      </w:tc>
    </w:tr>
    <w:tr w:rsidR="00206EF7" w:rsidRPr="0055494C" w14:paraId="59BBA7DC" w14:textId="77777777" w:rsidTr="00D81AC1">
      <w:trPr>
        <w:trHeight w:val="284"/>
      </w:trPr>
      <w:tc>
        <w:tcPr>
          <w:tcW w:w="658" w:type="dxa"/>
          <w:vAlign w:val="bottom"/>
        </w:tcPr>
        <w:p w14:paraId="2EB2C8A2" w14:textId="5D64656C" w:rsidR="00206EF7" w:rsidRPr="0055494C" w:rsidRDefault="00206EF7" w:rsidP="00D81AC1">
          <w:pPr>
            <w:pStyle w:val="Pieddepage"/>
            <w:spacing w:after="0" w:line="240" w:lineRule="auto"/>
            <w:jc w:val="center"/>
            <w:rPr>
              <w:rFonts w:ascii="Gill Sans MT" w:hAnsi="Gill Sans MT"/>
              <w:b/>
              <w:bCs/>
              <w:noProof/>
              <w:color w:val="0E805F"/>
            </w:rPr>
          </w:pPr>
          <w:r w:rsidRPr="0055494C">
            <w:rPr>
              <w:rFonts w:ascii="Gill Sans MT" w:hAnsi="Gill Sans MT"/>
              <w:b/>
              <w:bCs/>
              <w:noProof/>
              <w:color w:val="0E805F"/>
              <w:sz w:val="24"/>
              <w:szCs w:val="24"/>
              <w:lang w:eastAsia="fr-FR"/>
            </w:rPr>
            <w:drawing>
              <wp:inline distT="0" distB="0" distL="0" distR="0" wp14:anchorId="6F93C7A2" wp14:editId="38691481">
                <wp:extent cx="252000" cy="252000"/>
                <wp:effectExtent l="0" t="0" r="0" b="0"/>
                <wp:docPr id="711669381" name="Picture 84887845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2461" w:type="dxa"/>
          <w:vAlign w:val="center"/>
        </w:tcPr>
        <w:p w14:paraId="1BC7C41F" w14:textId="115CDCE4" w:rsidR="00206EF7" w:rsidRPr="0055494C" w:rsidRDefault="00206EF7" w:rsidP="0055494C">
          <w:pPr>
            <w:pStyle w:val="Pieddepage"/>
            <w:spacing w:after="0" w:line="240" w:lineRule="auto"/>
            <w:rPr>
              <w:rFonts w:ascii="Gill Sans MT" w:hAnsi="Gill Sans MT"/>
              <w:b/>
              <w:bCs/>
              <w:color w:val="0E805F"/>
            </w:rPr>
          </w:pPr>
          <w:r>
            <w:rPr>
              <w:rFonts w:ascii="Gill Sans MT" w:hAnsi="Gill Sans MT"/>
              <w:b/>
              <w:bCs/>
              <w:color w:val="0E805F"/>
            </w:rPr>
            <w:t>@allforrwanda</w:t>
          </w:r>
        </w:p>
      </w:tc>
    </w:tr>
  </w:tbl>
  <w:p w14:paraId="7667D311" w14:textId="2EEF8281" w:rsidR="00206EF7" w:rsidRPr="000E3DD8" w:rsidRDefault="006A0EDE" w:rsidP="000E3DD8">
    <w:pPr>
      <w:pStyle w:val="Pieddepage"/>
      <w:jc w:val="center"/>
    </w:pPr>
    <w:r>
      <w:rPr>
        <w:noProof/>
        <w:lang w:eastAsia="fr-FR"/>
      </w:rPr>
      <w:drawing>
        <wp:anchor distT="0" distB="0" distL="114300" distR="114300" simplePos="0" relativeHeight="251659264" behindDoc="1" locked="0" layoutInCell="1" allowOverlap="1" wp14:anchorId="03812A24" wp14:editId="0D3AC828">
          <wp:simplePos x="0" y="0"/>
          <wp:positionH relativeFrom="margin">
            <wp:posOffset>-133350</wp:posOffset>
          </wp:positionH>
          <wp:positionV relativeFrom="margin">
            <wp:posOffset>8198485</wp:posOffset>
          </wp:positionV>
          <wp:extent cx="3737610" cy="533400"/>
          <wp:effectExtent l="0" t="0" r="0" b="0"/>
          <wp:wrapNone/>
          <wp:docPr id="1351370835" name="Picture 182161161" descr="A green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sign&#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737610" cy="533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72A6" w14:textId="77777777" w:rsidR="00B542E6" w:rsidRDefault="00B542E6">
      <w:pPr>
        <w:spacing w:after="0" w:line="240" w:lineRule="auto"/>
      </w:pPr>
      <w:r>
        <w:separator/>
      </w:r>
    </w:p>
  </w:footnote>
  <w:footnote w:type="continuationSeparator" w:id="0">
    <w:p w14:paraId="72BEE95A" w14:textId="77777777" w:rsidR="00B542E6" w:rsidRDefault="00B54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6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9231"/>
      <w:gridCol w:w="222"/>
    </w:tblGrid>
    <w:tr w:rsidR="00206EF7" w:rsidRPr="000E3DD8" w14:paraId="5387E8EE" w14:textId="77777777" w:rsidTr="00274735">
      <w:trPr>
        <w:trHeight w:val="1545"/>
      </w:trPr>
      <w:tc>
        <w:tcPr>
          <w:tcW w:w="1423" w:type="dxa"/>
        </w:tcPr>
        <w:p w14:paraId="77193B30" w14:textId="5D68B172" w:rsidR="00206EF7" w:rsidRPr="000E3DD8" w:rsidRDefault="00A17C0C" w:rsidP="00EC45C6">
          <w:pPr>
            <w:spacing w:after="0"/>
            <w:rPr>
              <w:rFonts w:ascii="Gill Sans MT" w:hAnsi="Gill Sans MT" w:cs="Tahoma"/>
              <w:b/>
              <w:bCs/>
              <w:color w:val="0E805F"/>
              <w:sz w:val="16"/>
            </w:rPr>
          </w:pPr>
          <w:r w:rsidRPr="000E3DD8">
            <w:rPr>
              <w:rFonts w:ascii="Gill Sans MT" w:hAnsi="Gill Sans MT"/>
              <w:b/>
              <w:bCs/>
              <w:noProof/>
              <w:color w:val="0E805F"/>
              <w:sz w:val="20"/>
              <w:szCs w:val="20"/>
              <w:lang w:eastAsia="fr-FR"/>
            </w:rPr>
            <w:drawing>
              <wp:anchor distT="0" distB="0" distL="114300" distR="114300" simplePos="0" relativeHeight="251658240" behindDoc="0" locked="0" layoutInCell="1" allowOverlap="1" wp14:anchorId="197FF9C3" wp14:editId="1A4184DE">
                <wp:simplePos x="0" y="0"/>
                <wp:positionH relativeFrom="margin">
                  <wp:posOffset>68580</wp:posOffset>
                </wp:positionH>
                <wp:positionV relativeFrom="margin">
                  <wp:posOffset>412750</wp:posOffset>
                </wp:positionV>
                <wp:extent cx="1016000" cy="1016000"/>
                <wp:effectExtent l="0" t="0" r="0" b="0"/>
                <wp:wrapSquare wrapText="bothSides"/>
                <wp:docPr id="1374134426" name="Picture 1236998165" descr="A picture containing text, sign, outdo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 roo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p>
      </w:tc>
      <w:tc>
        <w:tcPr>
          <w:tcW w:w="4253" w:type="dxa"/>
          <w:tcBorders>
            <w:bottom w:val="dotted" w:sz="4" w:space="0" w:color="0E805F"/>
          </w:tcBorders>
        </w:tcPr>
        <w:p w14:paraId="06E004FA" w14:textId="20614D92" w:rsidR="00206EF7" w:rsidRPr="000E3DD8" w:rsidRDefault="00206EF7" w:rsidP="000E3DD8">
          <w:pPr>
            <w:pStyle w:val="En-tte"/>
            <w:tabs>
              <w:tab w:val="clear" w:pos="4513"/>
              <w:tab w:val="clear" w:pos="9026"/>
              <w:tab w:val="right" w:pos="4037"/>
            </w:tabs>
            <w:rPr>
              <w:rFonts w:ascii="Gill Sans MT" w:hAnsi="Gill Sans MT"/>
              <w:b/>
              <w:bCs/>
              <w:color w:val="0E805F"/>
              <w:sz w:val="20"/>
              <w:szCs w:val="20"/>
            </w:rPr>
          </w:pPr>
          <w:r w:rsidRPr="000E3DD8">
            <w:rPr>
              <w:rFonts w:ascii="Gill Sans MT" w:hAnsi="Gill Sans MT"/>
              <w:b/>
              <w:bCs/>
              <w:color w:val="0E805F"/>
              <w:sz w:val="20"/>
              <w:szCs w:val="20"/>
            </w:rPr>
            <w:tab/>
          </w:r>
        </w:p>
        <w:tbl>
          <w:tblPr>
            <w:tblStyle w:val="Grilledutableau"/>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tblGrid>
          <w:tr w:rsidR="007F3580" w:rsidRPr="00D72265" w14:paraId="5F0C052B" w14:textId="77777777" w:rsidTr="00A17C0C">
            <w:trPr>
              <w:trHeight w:val="870"/>
            </w:trPr>
            <w:tc>
              <w:tcPr>
                <w:tcW w:w="9015" w:type="dxa"/>
                <w:tcBorders>
                  <w:bottom w:val="single" w:sz="36" w:space="0" w:color="0E805F"/>
                </w:tcBorders>
              </w:tcPr>
              <w:p w14:paraId="0F9488D7" w14:textId="27EB27FF" w:rsidR="007F3580" w:rsidRPr="002B46DD" w:rsidRDefault="00206EF7" w:rsidP="000E3DD8">
                <w:pPr>
                  <w:pStyle w:val="En-tte"/>
                  <w:tabs>
                    <w:tab w:val="clear" w:pos="4513"/>
                    <w:tab w:val="clear" w:pos="9026"/>
                    <w:tab w:val="right" w:pos="4037"/>
                  </w:tabs>
                  <w:rPr>
                    <w:rFonts w:ascii="Gill Sans MT" w:hAnsi="Gill Sans MT"/>
                    <w:b/>
                    <w:bCs/>
                    <w:color w:val="0E805F"/>
                    <w:sz w:val="52"/>
                    <w:szCs w:val="52"/>
                    <w:lang w:val="en-GB"/>
                  </w:rPr>
                </w:pPr>
                <w:r w:rsidRPr="002B46DD">
                  <w:rPr>
                    <w:rFonts w:ascii="Gill Sans MT" w:hAnsi="Gill Sans MT"/>
                    <w:b/>
                    <w:bCs/>
                    <w:color w:val="0E805F"/>
                    <w:sz w:val="52"/>
                    <w:szCs w:val="52"/>
                    <w:lang w:val="en-GB"/>
                  </w:rPr>
                  <w:t>ALL FOR RWANDA</w:t>
                </w:r>
              </w:p>
              <w:p w14:paraId="331F9E63" w14:textId="1BA527CE" w:rsidR="007F3580" w:rsidRPr="002B46DD" w:rsidRDefault="002B46DD" w:rsidP="002B211A">
                <w:pPr>
                  <w:pStyle w:val="En-tte"/>
                  <w:tabs>
                    <w:tab w:val="clear" w:pos="4513"/>
                    <w:tab w:val="clear" w:pos="9026"/>
                    <w:tab w:val="right" w:pos="4037"/>
                  </w:tabs>
                  <w:rPr>
                    <w:rFonts w:ascii="Gill Sans MT" w:hAnsi="Gill Sans MT"/>
                    <w:b/>
                    <w:bCs/>
                    <w:i/>
                    <w:iCs/>
                    <w:color w:val="0E805F"/>
                    <w:sz w:val="20"/>
                    <w:szCs w:val="20"/>
                    <w:lang w:val="en-GB"/>
                  </w:rPr>
                </w:pPr>
                <w:r>
                  <w:rPr>
                    <w:rFonts w:ascii="Gill Sans MT" w:hAnsi="Gill Sans MT"/>
                    <w:b/>
                    <w:bCs/>
                    <w:i/>
                    <w:iCs/>
                    <w:color w:val="0E805F"/>
                    <w:sz w:val="20"/>
                    <w:szCs w:val="20"/>
                    <w:lang w:val="en-GB"/>
                  </w:rPr>
                  <w:t>“GLOBAL</w:t>
                </w:r>
                <w:r w:rsidRPr="002B46DD">
                  <w:rPr>
                    <w:rFonts w:ascii="Gill Sans MT" w:hAnsi="Gill Sans MT"/>
                    <w:b/>
                    <w:bCs/>
                    <w:i/>
                    <w:iCs/>
                    <w:color w:val="0E805F"/>
                    <w:sz w:val="20"/>
                    <w:szCs w:val="20"/>
                    <w:lang w:val="en-GB"/>
                  </w:rPr>
                  <w:t xml:space="preserve"> MOVEMENT WORKING TO SUPPORT, PROTECT, AND IMPLEMENT SOLUTIONS FOR A DIGNIFIED RETURN OF RWANDAN REFUGEES.</w:t>
                </w:r>
                <w:r>
                  <w:rPr>
                    <w:rFonts w:ascii="Gill Sans MT" w:hAnsi="Gill Sans MT"/>
                    <w:b/>
                    <w:bCs/>
                    <w:i/>
                    <w:iCs/>
                    <w:color w:val="0E805F"/>
                    <w:sz w:val="20"/>
                    <w:szCs w:val="20"/>
                    <w:lang w:val="en-GB"/>
                  </w:rPr>
                  <w:t>”</w:t>
                </w:r>
              </w:p>
            </w:tc>
          </w:tr>
          <w:tr w:rsidR="00206EF7" w:rsidRPr="000E3DD8" w14:paraId="0C0CEDE4" w14:textId="77777777" w:rsidTr="00A17C0C">
            <w:trPr>
              <w:trHeight w:val="291"/>
            </w:trPr>
            <w:tc>
              <w:tcPr>
                <w:tcW w:w="9015" w:type="dxa"/>
                <w:tcBorders>
                  <w:top w:val="single" w:sz="36" w:space="0" w:color="0E805F"/>
                </w:tcBorders>
              </w:tcPr>
              <w:p w14:paraId="6B2F2E37" w14:textId="1ABC0D69" w:rsidR="007F3580" w:rsidRPr="00A17C0C" w:rsidRDefault="00405147" w:rsidP="000F0D62">
                <w:pPr>
                  <w:pStyle w:val="En-tte"/>
                  <w:tabs>
                    <w:tab w:val="clear" w:pos="4513"/>
                    <w:tab w:val="clear" w:pos="9026"/>
                    <w:tab w:val="right" w:pos="4037"/>
                  </w:tabs>
                  <w:rPr>
                    <w:rFonts w:ascii="Gill Sans MT" w:hAnsi="Gill Sans MT"/>
                    <w:b/>
                    <w:bCs/>
                    <w:color w:val="0E805F"/>
                    <w:sz w:val="36"/>
                    <w:szCs w:val="36"/>
                  </w:rPr>
                </w:pPr>
                <w:r w:rsidRPr="00405147">
                  <w:rPr>
                    <w:rFonts w:ascii="Gill Sans MT" w:hAnsi="Gill Sans MT"/>
                    <w:b/>
                    <w:bCs/>
                    <w:color w:val="0E805F"/>
                    <w:sz w:val="36"/>
                    <w:szCs w:val="36"/>
                  </w:rPr>
                  <w:t>PRESS RELEASE</w:t>
                </w:r>
                <w:r w:rsidR="00A17C0C">
                  <w:rPr>
                    <w:rFonts w:ascii="Gill Sans MT" w:hAnsi="Gill Sans MT"/>
                    <w:b/>
                    <w:bCs/>
                    <w:color w:val="0E805F"/>
                    <w:sz w:val="36"/>
                    <w:szCs w:val="36"/>
                  </w:rPr>
                  <w:t xml:space="preserve"> </w:t>
                </w:r>
                <w:r w:rsidR="009B73D9">
                  <w:rPr>
                    <w:rFonts w:ascii="Gill Sans MT" w:hAnsi="Gill Sans MT"/>
                    <w:b/>
                    <w:bCs/>
                    <w:color w:val="0E805F"/>
                  </w:rPr>
                  <w:t>–</w:t>
                </w:r>
                <w:r w:rsidR="00A17C0C">
                  <w:rPr>
                    <w:rFonts w:ascii="Gill Sans MT" w:hAnsi="Gill Sans MT"/>
                    <w:b/>
                    <w:bCs/>
                    <w:color w:val="0E805F"/>
                    <w:sz w:val="36"/>
                    <w:szCs w:val="36"/>
                  </w:rPr>
                  <w:t xml:space="preserve"> </w:t>
                </w:r>
                <w:proofErr w:type="spellStart"/>
                <w:r w:rsidR="00C9745E">
                  <w:rPr>
                    <w:rFonts w:ascii="Gill Sans MT" w:hAnsi="Gill Sans MT"/>
                    <w:b/>
                    <w:bCs/>
                    <w:color w:val="0E805F"/>
                    <w:sz w:val="20"/>
                    <w:szCs w:val="20"/>
                  </w:rPr>
                  <w:t>January</w:t>
                </w:r>
                <w:proofErr w:type="spellEnd"/>
                <w:r w:rsidR="009B73D9" w:rsidRPr="009B73D9">
                  <w:rPr>
                    <w:rFonts w:ascii="Gill Sans MT" w:hAnsi="Gill Sans MT"/>
                    <w:b/>
                    <w:bCs/>
                    <w:color w:val="0E805F"/>
                    <w:sz w:val="20"/>
                    <w:szCs w:val="20"/>
                  </w:rPr>
                  <w:t xml:space="preserve"> 0</w:t>
                </w:r>
                <w:r w:rsidR="00C9745E">
                  <w:rPr>
                    <w:rFonts w:ascii="Gill Sans MT" w:hAnsi="Gill Sans MT"/>
                    <w:b/>
                    <w:bCs/>
                    <w:color w:val="0E805F"/>
                    <w:sz w:val="20"/>
                    <w:szCs w:val="20"/>
                  </w:rPr>
                  <w:t>7</w:t>
                </w:r>
                <w:r w:rsidR="008D65CF" w:rsidRPr="009B73D9">
                  <w:rPr>
                    <w:rFonts w:ascii="Gill Sans MT" w:hAnsi="Gill Sans MT"/>
                    <w:b/>
                    <w:bCs/>
                    <w:color w:val="0E805F"/>
                    <w:sz w:val="20"/>
                    <w:szCs w:val="20"/>
                  </w:rPr>
                  <w:t>, 202</w:t>
                </w:r>
                <w:r w:rsidR="00BB1C31" w:rsidRPr="009B73D9">
                  <w:rPr>
                    <w:rFonts w:ascii="Gill Sans MT" w:hAnsi="Gill Sans MT"/>
                    <w:b/>
                    <w:bCs/>
                    <w:color w:val="0E805F"/>
                    <w:sz w:val="20"/>
                    <w:szCs w:val="20"/>
                  </w:rPr>
                  <w:t>5</w:t>
                </w:r>
              </w:p>
            </w:tc>
          </w:tr>
        </w:tbl>
        <w:p w14:paraId="1E00A510" w14:textId="75F9AFF3" w:rsidR="00206EF7" w:rsidRPr="000E3DD8" w:rsidRDefault="00206EF7" w:rsidP="000E3DD8">
          <w:pPr>
            <w:pStyle w:val="En-tte"/>
            <w:tabs>
              <w:tab w:val="clear" w:pos="4513"/>
              <w:tab w:val="clear" w:pos="9026"/>
              <w:tab w:val="right" w:pos="4037"/>
            </w:tabs>
            <w:rPr>
              <w:rFonts w:ascii="Gill Sans MT" w:hAnsi="Gill Sans MT"/>
              <w:b/>
              <w:bCs/>
              <w:color w:val="0E805F"/>
              <w:sz w:val="20"/>
              <w:szCs w:val="20"/>
            </w:rPr>
          </w:pPr>
        </w:p>
      </w:tc>
      <w:tc>
        <w:tcPr>
          <w:tcW w:w="3685" w:type="dxa"/>
        </w:tcPr>
        <w:p w14:paraId="19C91DC6" w14:textId="77777777" w:rsidR="00206EF7" w:rsidRPr="000E3DD8" w:rsidRDefault="00206EF7" w:rsidP="00EC45C6">
          <w:pPr>
            <w:pStyle w:val="En-tte"/>
            <w:rPr>
              <w:b/>
              <w:bCs/>
              <w:color w:val="0E805F"/>
            </w:rPr>
          </w:pPr>
        </w:p>
      </w:tc>
    </w:tr>
  </w:tbl>
  <w:p w14:paraId="3841F5BD" w14:textId="0788631E" w:rsidR="00206EF7" w:rsidRPr="00264762" w:rsidRDefault="00206EF7" w:rsidP="00264762">
    <w:pPr>
      <w:pStyle w:val="En-tte"/>
      <w:tabs>
        <w:tab w:val="clear" w:pos="4513"/>
        <w:tab w:val="clear" w:pos="9026"/>
        <w:tab w:val="left" w:pos="2070"/>
      </w:tabs>
      <w:rPr>
        <w:b/>
        <w:bCs/>
        <w:color w:val="0E805F"/>
        <w:sz w:val="36"/>
        <w:szCs w:val="36"/>
      </w:rPr>
    </w:pPr>
    <w:r>
      <w:rPr>
        <w:b/>
        <w:bCs/>
        <w:color w:val="0E805F"/>
        <w:sz w:val="2"/>
        <w:szCs w:val="2"/>
      </w:rPr>
      <w:tab/>
    </w:r>
    <w:proofErr w:type="spellStart"/>
    <w:r>
      <w:rPr>
        <w:b/>
        <w:bCs/>
        <w:color w:val="0E805F"/>
        <w:sz w:val="2"/>
        <w:szCs w:val="2"/>
      </w:rPr>
      <w:t>Aç</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877"/>
    <w:multiLevelType w:val="hybridMultilevel"/>
    <w:tmpl w:val="9D2873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B52558"/>
    <w:multiLevelType w:val="hybridMultilevel"/>
    <w:tmpl w:val="DD3CE298"/>
    <w:lvl w:ilvl="0" w:tplc="C31A5E8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2390FAD"/>
    <w:multiLevelType w:val="hybridMultilevel"/>
    <w:tmpl w:val="288C08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2A026CF"/>
    <w:multiLevelType w:val="multilevel"/>
    <w:tmpl w:val="FC0E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96F61"/>
    <w:multiLevelType w:val="hybridMultilevel"/>
    <w:tmpl w:val="35CADA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CA171C"/>
    <w:multiLevelType w:val="hybridMultilevel"/>
    <w:tmpl w:val="73BA0F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61003903">
    <w:abstractNumId w:val="1"/>
  </w:num>
  <w:num w:numId="2" w16cid:durableId="538131258">
    <w:abstractNumId w:val="4"/>
  </w:num>
  <w:num w:numId="3" w16cid:durableId="1060665281">
    <w:abstractNumId w:val="3"/>
  </w:num>
  <w:num w:numId="4" w16cid:durableId="1140878730">
    <w:abstractNumId w:val="0"/>
  </w:num>
  <w:num w:numId="5" w16cid:durableId="2106685972">
    <w:abstractNumId w:val="2"/>
  </w:num>
  <w:num w:numId="6" w16cid:durableId="1112016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8"/>
  <w:hyphenationZone w:val="425"/>
  <w:characterSpacingControl w:val="doNotCompress"/>
  <w:hdrShapeDefaults>
    <o:shapedefaults v:ext="edit" spidmax="2050">
      <o:colormru v:ext="edit" colors="#0e805f,#67efc8,#a1f5dd,#cbf9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60"/>
    <w:rsid w:val="000724F9"/>
    <w:rsid w:val="00085026"/>
    <w:rsid w:val="000A035E"/>
    <w:rsid w:val="000B1421"/>
    <w:rsid w:val="000B4DC7"/>
    <w:rsid w:val="000E057B"/>
    <w:rsid w:val="000E3DD8"/>
    <w:rsid w:val="000F0D62"/>
    <w:rsid w:val="00111266"/>
    <w:rsid w:val="00162969"/>
    <w:rsid w:val="00164584"/>
    <w:rsid w:val="00171285"/>
    <w:rsid w:val="00180DDE"/>
    <w:rsid w:val="001B01AB"/>
    <w:rsid w:val="001D533D"/>
    <w:rsid w:val="00206EF7"/>
    <w:rsid w:val="00227AF4"/>
    <w:rsid w:val="0024218B"/>
    <w:rsid w:val="00251680"/>
    <w:rsid w:val="00264762"/>
    <w:rsid w:val="00266A72"/>
    <w:rsid w:val="00274735"/>
    <w:rsid w:val="0027511C"/>
    <w:rsid w:val="0027604C"/>
    <w:rsid w:val="002B211A"/>
    <w:rsid w:val="002B46DD"/>
    <w:rsid w:val="002F271F"/>
    <w:rsid w:val="00324458"/>
    <w:rsid w:val="00336538"/>
    <w:rsid w:val="003559AD"/>
    <w:rsid w:val="003937F3"/>
    <w:rsid w:val="003C4162"/>
    <w:rsid w:val="003D0D6A"/>
    <w:rsid w:val="003E3734"/>
    <w:rsid w:val="003E5FB0"/>
    <w:rsid w:val="00405147"/>
    <w:rsid w:val="00407A5B"/>
    <w:rsid w:val="0043051B"/>
    <w:rsid w:val="00433ACC"/>
    <w:rsid w:val="00463DBA"/>
    <w:rsid w:val="004730E4"/>
    <w:rsid w:val="004D02C1"/>
    <w:rsid w:val="004D2360"/>
    <w:rsid w:val="004D2670"/>
    <w:rsid w:val="004D65D9"/>
    <w:rsid w:val="004E213D"/>
    <w:rsid w:val="005021C7"/>
    <w:rsid w:val="00530DC8"/>
    <w:rsid w:val="0055494C"/>
    <w:rsid w:val="0056379D"/>
    <w:rsid w:val="005878C9"/>
    <w:rsid w:val="00590FBD"/>
    <w:rsid w:val="005A1C3D"/>
    <w:rsid w:val="005E34BB"/>
    <w:rsid w:val="005F48A8"/>
    <w:rsid w:val="0063211B"/>
    <w:rsid w:val="00642002"/>
    <w:rsid w:val="006468D2"/>
    <w:rsid w:val="0067061D"/>
    <w:rsid w:val="00674815"/>
    <w:rsid w:val="00683BF2"/>
    <w:rsid w:val="006A0EDE"/>
    <w:rsid w:val="006B7688"/>
    <w:rsid w:val="006E777C"/>
    <w:rsid w:val="00713E48"/>
    <w:rsid w:val="00724299"/>
    <w:rsid w:val="00742B0A"/>
    <w:rsid w:val="00750449"/>
    <w:rsid w:val="00762F64"/>
    <w:rsid w:val="0076337D"/>
    <w:rsid w:val="00783587"/>
    <w:rsid w:val="007F3580"/>
    <w:rsid w:val="007F6AD0"/>
    <w:rsid w:val="00822516"/>
    <w:rsid w:val="00863631"/>
    <w:rsid w:val="008664F8"/>
    <w:rsid w:val="00891F9D"/>
    <w:rsid w:val="008D23E9"/>
    <w:rsid w:val="008D2ADA"/>
    <w:rsid w:val="008D65CF"/>
    <w:rsid w:val="008F5605"/>
    <w:rsid w:val="00910A02"/>
    <w:rsid w:val="009135A0"/>
    <w:rsid w:val="009276AD"/>
    <w:rsid w:val="009304F9"/>
    <w:rsid w:val="00936EB5"/>
    <w:rsid w:val="00943200"/>
    <w:rsid w:val="009758E5"/>
    <w:rsid w:val="00992231"/>
    <w:rsid w:val="00994DEB"/>
    <w:rsid w:val="009A6DC3"/>
    <w:rsid w:val="009B73D9"/>
    <w:rsid w:val="009D586A"/>
    <w:rsid w:val="009D631B"/>
    <w:rsid w:val="009E4B9C"/>
    <w:rsid w:val="009E5CD8"/>
    <w:rsid w:val="00A11F5F"/>
    <w:rsid w:val="00A17C0C"/>
    <w:rsid w:val="00A85053"/>
    <w:rsid w:val="00A9302C"/>
    <w:rsid w:val="00A965D7"/>
    <w:rsid w:val="00AA7505"/>
    <w:rsid w:val="00AD32F4"/>
    <w:rsid w:val="00AD7805"/>
    <w:rsid w:val="00AE689F"/>
    <w:rsid w:val="00AF30C8"/>
    <w:rsid w:val="00AF3B0F"/>
    <w:rsid w:val="00B30A92"/>
    <w:rsid w:val="00B326A9"/>
    <w:rsid w:val="00B542E6"/>
    <w:rsid w:val="00B87B1A"/>
    <w:rsid w:val="00B93DE0"/>
    <w:rsid w:val="00BA44F2"/>
    <w:rsid w:val="00BB1C31"/>
    <w:rsid w:val="00BD5127"/>
    <w:rsid w:val="00BD6CF9"/>
    <w:rsid w:val="00C3254F"/>
    <w:rsid w:val="00C5457D"/>
    <w:rsid w:val="00C55866"/>
    <w:rsid w:val="00C709AD"/>
    <w:rsid w:val="00C94A41"/>
    <w:rsid w:val="00C9745E"/>
    <w:rsid w:val="00CB6E4C"/>
    <w:rsid w:val="00D72265"/>
    <w:rsid w:val="00D81AC1"/>
    <w:rsid w:val="00D85361"/>
    <w:rsid w:val="00D86A86"/>
    <w:rsid w:val="00DA7728"/>
    <w:rsid w:val="00DE7B98"/>
    <w:rsid w:val="00E025BD"/>
    <w:rsid w:val="00E048E0"/>
    <w:rsid w:val="00E81B2E"/>
    <w:rsid w:val="00EC45C6"/>
    <w:rsid w:val="00EC735A"/>
    <w:rsid w:val="00ED35F9"/>
    <w:rsid w:val="00F12E13"/>
    <w:rsid w:val="00F15A16"/>
    <w:rsid w:val="00F44F03"/>
    <w:rsid w:val="00F6030C"/>
    <w:rsid w:val="00F7651B"/>
    <w:rsid w:val="00FB1327"/>
    <w:rsid w:val="00FC1254"/>
    <w:rsid w:val="00FE13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e805f,#67efc8,#a1f5dd,#cbf9ec"/>
    </o:shapedefaults>
    <o:shapelayout v:ext="edit">
      <o:idmap v:ext="edit" data="2"/>
    </o:shapelayout>
  </w:shapeDefaults>
  <w:decimalSymbol w:val=","/>
  <w:listSeparator w:val=";"/>
  <w14:docId w14:val="2FD7F779"/>
  <w15:docId w15:val="{AEA11691-22D8-49B0-A7A5-52A89FD2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2">
    <w:name w:val="heading 2"/>
    <w:basedOn w:val="Normal"/>
    <w:next w:val="Normal"/>
    <w:link w:val="Titre2Car"/>
    <w:uiPriority w:val="9"/>
    <w:semiHidden/>
    <w:unhideWhenUsed/>
    <w:qFormat/>
    <w:rsid w:val="00D722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6B7688"/>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qFormat/>
    <w:pPr>
      <w:spacing w:after="0" w:line="240" w:lineRule="auto"/>
      <w:contextualSpacing/>
      <w:jc w:val="both"/>
    </w:pPr>
    <w:rPr>
      <w:rFonts w:ascii="Garamond" w:eastAsia="Lucida Sans Unicode" w:hAnsi="Garamond"/>
      <w:kern w:val="2"/>
    </w:rPr>
  </w:style>
  <w:style w:type="character" w:customStyle="1" w:styleId="NotedebasdepageCar">
    <w:name w:val="Note de bas de page Car"/>
    <w:link w:val="Notedebasdepage"/>
    <w:rPr>
      <w:rFonts w:ascii="Garamond" w:eastAsia="Lucida Sans Unicode" w:hAnsi="Garamond"/>
      <w:kern w:val="2"/>
    </w:rPr>
  </w:style>
  <w:style w:type="character" w:customStyle="1" w:styleId="NotedebasdepageCar1">
    <w:name w:val="Note de bas de page Car1"/>
    <w:rPr>
      <w:rFonts w:eastAsia="Lucida Sans Unicode"/>
      <w:kern w:val="1"/>
      <w:szCs w:val="24"/>
      <w:lang w:val="fr-FR" w:bidi="ar-SA"/>
    </w:rPr>
  </w:style>
  <w:style w:type="paragraph" w:styleId="En-tte">
    <w:name w:val="header"/>
    <w:basedOn w:val="Normal"/>
    <w:link w:val="En-tteCar"/>
    <w:uiPriority w:val="99"/>
    <w:pPr>
      <w:tabs>
        <w:tab w:val="center" w:pos="4513"/>
        <w:tab w:val="right" w:pos="9026"/>
      </w:tabs>
    </w:pPr>
  </w:style>
  <w:style w:type="character" w:customStyle="1" w:styleId="En-tteCar">
    <w:name w:val="En-tête Car"/>
    <w:link w:val="En-tte"/>
    <w:uiPriority w:val="99"/>
    <w:rPr>
      <w:sz w:val="22"/>
      <w:szCs w:val="22"/>
      <w:lang w:eastAsia="en-US"/>
    </w:rPr>
  </w:style>
  <w:style w:type="paragraph" w:styleId="Pieddepage">
    <w:name w:val="footer"/>
    <w:basedOn w:val="Normal"/>
    <w:link w:val="PieddepageCar"/>
    <w:uiPriority w:val="99"/>
    <w:pPr>
      <w:tabs>
        <w:tab w:val="center" w:pos="4513"/>
        <w:tab w:val="right" w:pos="9026"/>
      </w:tabs>
    </w:pPr>
  </w:style>
  <w:style w:type="character" w:customStyle="1" w:styleId="PieddepageCar">
    <w:name w:val="Pied de page Car"/>
    <w:link w:val="Pieddepage"/>
    <w:uiPriority w:val="99"/>
    <w:rPr>
      <w:sz w:val="22"/>
      <w:szCs w:val="22"/>
      <w:lang w:eastAsia="en-US"/>
    </w:rPr>
  </w:style>
  <w:style w:type="paragraph" w:styleId="Paragraphedeliste">
    <w:name w:val="List Paragraph"/>
    <w:basedOn w:val="Normal"/>
    <w:uiPriority w:val="34"/>
    <w:qFormat/>
    <w:rsid w:val="009304F9"/>
    <w:pPr>
      <w:ind w:left="720"/>
      <w:contextualSpacing/>
    </w:pPr>
  </w:style>
  <w:style w:type="table" w:styleId="Grilledutableau">
    <w:name w:val="Table Grid"/>
    <w:basedOn w:val="TableauNormal"/>
    <w:uiPriority w:val="39"/>
    <w:rsid w:val="003E5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B211A"/>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B211A"/>
    <w:rPr>
      <w:rFonts w:ascii="Lucida Grande" w:hAnsi="Lucida Grande" w:cs="Lucida Grande"/>
      <w:sz w:val="18"/>
      <w:szCs w:val="18"/>
      <w:lang w:eastAsia="en-US"/>
    </w:rPr>
  </w:style>
  <w:style w:type="character" w:styleId="lev">
    <w:name w:val="Strong"/>
    <w:basedOn w:val="Policepardfaut"/>
    <w:uiPriority w:val="22"/>
    <w:qFormat/>
    <w:rsid w:val="006B7688"/>
    <w:rPr>
      <w:b/>
      <w:bCs/>
    </w:rPr>
  </w:style>
  <w:style w:type="character" w:customStyle="1" w:styleId="Titre3Car">
    <w:name w:val="Titre 3 Car"/>
    <w:basedOn w:val="Policepardfaut"/>
    <w:link w:val="Titre3"/>
    <w:uiPriority w:val="9"/>
    <w:rsid w:val="006B7688"/>
    <w:rPr>
      <w:rFonts w:ascii="Times New Roman" w:eastAsia="Times New Roman" w:hAnsi="Times New Roman"/>
      <w:b/>
      <w:bCs/>
      <w:sz w:val="27"/>
      <w:szCs w:val="27"/>
    </w:rPr>
  </w:style>
  <w:style w:type="paragraph" w:styleId="NormalWeb">
    <w:name w:val="Normal (Web)"/>
    <w:basedOn w:val="Normal"/>
    <w:uiPriority w:val="99"/>
    <w:unhideWhenUsed/>
    <w:rsid w:val="00085026"/>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085026"/>
    <w:rPr>
      <w:color w:val="0000FF"/>
      <w:u w:val="single"/>
    </w:rPr>
  </w:style>
  <w:style w:type="character" w:customStyle="1" w:styleId="Titre2Car">
    <w:name w:val="Titre 2 Car"/>
    <w:basedOn w:val="Policepardfaut"/>
    <w:link w:val="Titre2"/>
    <w:uiPriority w:val="9"/>
    <w:semiHidden/>
    <w:rsid w:val="00D7226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6870">
      <w:bodyDiv w:val="1"/>
      <w:marLeft w:val="0"/>
      <w:marRight w:val="0"/>
      <w:marTop w:val="0"/>
      <w:marBottom w:val="0"/>
      <w:divBdr>
        <w:top w:val="none" w:sz="0" w:space="0" w:color="auto"/>
        <w:left w:val="none" w:sz="0" w:space="0" w:color="auto"/>
        <w:bottom w:val="none" w:sz="0" w:space="0" w:color="auto"/>
        <w:right w:val="none" w:sz="0" w:space="0" w:color="auto"/>
      </w:divBdr>
    </w:div>
    <w:div w:id="805197378">
      <w:bodyDiv w:val="1"/>
      <w:marLeft w:val="0"/>
      <w:marRight w:val="0"/>
      <w:marTop w:val="0"/>
      <w:marBottom w:val="0"/>
      <w:divBdr>
        <w:top w:val="none" w:sz="0" w:space="0" w:color="auto"/>
        <w:left w:val="none" w:sz="0" w:space="0" w:color="auto"/>
        <w:bottom w:val="none" w:sz="0" w:space="0" w:color="auto"/>
        <w:right w:val="none" w:sz="0" w:space="0" w:color="auto"/>
      </w:divBdr>
    </w:div>
    <w:div w:id="851182434">
      <w:bodyDiv w:val="1"/>
      <w:marLeft w:val="0"/>
      <w:marRight w:val="0"/>
      <w:marTop w:val="0"/>
      <w:marBottom w:val="0"/>
      <w:divBdr>
        <w:top w:val="none" w:sz="0" w:space="0" w:color="auto"/>
        <w:left w:val="none" w:sz="0" w:space="0" w:color="auto"/>
        <w:bottom w:val="none" w:sz="0" w:space="0" w:color="auto"/>
        <w:right w:val="none" w:sz="0" w:space="0" w:color="auto"/>
      </w:divBdr>
    </w:div>
    <w:div w:id="92576743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00">
          <w:marLeft w:val="0"/>
          <w:marRight w:val="0"/>
          <w:marTop w:val="0"/>
          <w:marBottom w:val="0"/>
          <w:divBdr>
            <w:top w:val="single" w:sz="2" w:space="0" w:color="D9D9E3"/>
            <w:left w:val="single" w:sz="2" w:space="0" w:color="D9D9E3"/>
            <w:bottom w:val="single" w:sz="2" w:space="0" w:color="D9D9E3"/>
            <w:right w:val="single" w:sz="2" w:space="0" w:color="D9D9E3"/>
          </w:divBdr>
          <w:divsChild>
            <w:div w:id="954991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0438453">
                  <w:marLeft w:val="0"/>
                  <w:marRight w:val="0"/>
                  <w:marTop w:val="0"/>
                  <w:marBottom w:val="0"/>
                  <w:divBdr>
                    <w:top w:val="single" w:sz="2" w:space="0" w:color="D9D9E3"/>
                    <w:left w:val="single" w:sz="2" w:space="0" w:color="D9D9E3"/>
                    <w:bottom w:val="single" w:sz="2" w:space="0" w:color="D9D9E3"/>
                    <w:right w:val="single" w:sz="2" w:space="0" w:color="D9D9E3"/>
                  </w:divBdr>
                  <w:divsChild>
                    <w:div w:id="1880236943">
                      <w:marLeft w:val="0"/>
                      <w:marRight w:val="0"/>
                      <w:marTop w:val="0"/>
                      <w:marBottom w:val="0"/>
                      <w:divBdr>
                        <w:top w:val="single" w:sz="2" w:space="0" w:color="D9D9E3"/>
                        <w:left w:val="single" w:sz="2" w:space="0" w:color="D9D9E3"/>
                        <w:bottom w:val="single" w:sz="2" w:space="0" w:color="D9D9E3"/>
                        <w:right w:val="single" w:sz="2" w:space="0" w:color="D9D9E3"/>
                      </w:divBdr>
                      <w:divsChild>
                        <w:div w:id="1474173720">
                          <w:marLeft w:val="0"/>
                          <w:marRight w:val="0"/>
                          <w:marTop w:val="0"/>
                          <w:marBottom w:val="0"/>
                          <w:divBdr>
                            <w:top w:val="single" w:sz="2" w:space="0" w:color="D9D9E3"/>
                            <w:left w:val="single" w:sz="2" w:space="0" w:color="D9D9E3"/>
                            <w:bottom w:val="single" w:sz="2" w:space="0" w:color="D9D9E3"/>
                            <w:right w:val="single" w:sz="2" w:space="0" w:color="D9D9E3"/>
                          </w:divBdr>
                          <w:divsChild>
                            <w:div w:id="98960079">
                              <w:marLeft w:val="0"/>
                              <w:marRight w:val="0"/>
                              <w:marTop w:val="0"/>
                              <w:marBottom w:val="0"/>
                              <w:divBdr>
                                <w:top w:val="single" w:sz="2" w:space="0" w:color="D9D9E3"/>
                                <w:left w:val="single" w:sz="2" w:space="0" w:color="D9D9E3"/>
                                <w:bottom w:val="single" w:sz="2" w:space="0" w:color="D9D9E3"/>
                                <w:right w:val="single" w:sz="2" w:space="0" w:color="D9D9E3"/>
                              </w:divBdr>
                              <w:divsChild>
                                <w:div w:id="974527647">
                                  <w:marLeft w:val="0"/>
                                  <w:marRight w:val="0"/>
                                  <w:marTop w:val="0"/>
                                  <w:marBottom w:val="0"/>
                                  <w:divBdr>
                                    <w:top w:val="single" w:sz="2" w:space="0" w:color="D9D9E3"/>
                                    <w:left w:val="single" w:sz="2" w:space="0" w:color="D9D9E3"/>
                                    <w:bottom w:val="single" w:sz="2" w:space="0" w:color="D9D9E3"/>
                                    <w:right w:val="single" w:sz="2" w:space="0" w:color="D9D9E3"/>
                                  </w:divBdr>
                                  <w:divsChild>
                                    <w:div w:id="200508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4288568">
      <w:bodyDiv w:val="1"/>
      <w:marLeft w:val="0"/>
      <w:marRight w:val="0"/>
      <w:marTop w:val="0"/>
      <w:marBottom w:val="0"/>
      <w:divBdr>
        <w:top w:val="none" w:sz="0" w:space="0" w:color="auto"/>
        <w:left w:val="none" w:sz="0" w:space="0" w:color="auto"/>
        <w:bottom w:val="none" w:sz="0" w:space="0" w:color="auto"/>
        <w:right w:val="none" w:sz="0" w:space="0" w:color="auto"/>
      </w:divBdr>
    </w:div>
    <w:div w:id="1032924757">
      <w:bodyDiv w:val="1"/>
      <w:marLeft w:val="0"/>
      <w:marRight w:val="0"/>
      <w:marTop w:val="0"/>
      <w:marBottom w:val="0"/>
      <w:divBdr>
        <w:top w:val="none" w:sz="0" w:space="0" w:color="auto"/>
        <w:left w:val="none" w:sz="0" w:space="0" w:color="auto"/>
        <w:bottom w:val="none" w:sz="0" w:space="0" w:color="auto"/>
        <w:right w:val="none" w:sz="0" w:space="0" w:color="auto"/>
      </w:divBdr>
    </w:div>
    <w:div w:id="1087648943">
      <w:bodyDiv w:val="1"/>
      <w:marLeft w:val="0"/>
      <w:marRight w:val="0"/>
      <w:marTop w:val="0"/>
      <w:marBottom w:val="0"/>
      <w:divBdr>
        <w:top w:val="none" w:sz="0" w:space="0" w:color="auto"/>
        <w:left w:val="none" w:sz="0" w:space="0" w:color="auto"/>
        <w:bottom w:val="none" w:sz="0" w:space="0" w:color="auto"/>
        <w:right w:val="none" w:sz="0" w:space="0" w:color="auto"/>
      </w:divBdr>
    </w:div>
    <w:div w:id="1233085181">
      <w:bodyDiv w:val="1"/>
      <w:marLeft w:val="0"/>
      <w:marRight w:val="0"/>
      <w:marTop w:val="0"/>
      <w:marBottom w:val="0"/>
      <w:divBdr>
        <w:top w:val="none" w:sz="0" w:space="0" w:color="auto"/>
        <w:left w:val="none" w:sz="0" w:space="0" w:color="auto"/>
        <w:bottom w:val="none" w:sz="0" w:space="0" w:color="auto"/>
        <w:right w:val="none" w:sz="0" w:space="0" w:color="auto"/>
      </w:divBdr>
    </w:div>
    <w:div w:id="1304001998">
      <w:bodyDiv w:val="1"/>
      <w:marLeft w:val="0"/>
      <w:marRight w:val="0"/>
      <w:marTop w:val="0"/>
      <w:marBottom w:val="0"/>
      <w:divBdr>
        <w:top w:val="none" w:sz="0" w:space="0" w:color="auto"/>
        <w:left w:val="none" w:sz="0" w:space="0" w:color="auto"/>
        <w:bottom w:val="none" w:sz="0" w:space="0" w:color="auto"/>
        <w:right w:val="none" w:sz="0" w:space="0" w:color="auto"/>
      </w:divBdr>
    </w:div>
    <w:div w:id="1399286283">
      <w:bodyDiv w:val="1"/>
      <w:marLeft w:val="0"/>
      <w:marRight w:val="0"/>
      <w:marTop w:val="0"/>
      <w:marBottom w:val="0"/>
      <w:divBdr>
        <w:top w:val="none" w:sz="0" w:space="0" w:color="auto"/>
        <w:left w:val="none" w:sz="0" w:space="0" w:color="auto"/>
        <w:bottom w:val="none" w:sz="0" w:space="0" w:color="auto"/>
        <w:right w:val="none" w:sz="0" w:space="0" w:color="auto"/>
      </w:divBdr>
    </w:div>
    <w:div w:id="1742752063">
      <w:bodyDiv w:val="1"/>
      <w:marLeft w:val="0"/>
      <w:marRight w:val="0"/>
      <w:marTop w:val="0"/>
      <w:marBottom w:val="0"/>
      <w:divBdr>
        <w:top w:val="none" w:sz="0" w:space="0" w:color="auto"/>
        <w:left w:val="none" w:sz="0" w:space="0" w:color="auto"/>
        <w:bottom w:val="none" w:sz="0" w:space="0" w:color="auto"/>
        <w:right w:val="none" w:sz="0" w:space="0" w:color="auto"/>
      </w:divBdr>
    </w:div>
    <w:div w:id="1872642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rman.sinamenye@allforrw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4982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SINAMENYE Norman</dc:creator>
  <cp:keywords/>
  <dc:description/>
  <cp:lastModifiedBy>Norman Sinamenye</cp:lastModifiedBy>
  <cp:revision>45</cp:revision>
  <cp:lastPrinted>2023-05-03T17:30:00Z</cp:lastPrinted>
  <dcterms:created xsi:type="dcterms:W3CDTF">2023-05-02T13:55:00Z</dcterms:created>
  <dcterms:modified xsi:type="dcterms:W3CDTF">2026-01-07T15:34:00Z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ae66b58f98e84c4bac1264a3ad572de9</vt:lpwstr>
  </property>
  <property fmtid="{D5CDD505-2E9C-101B-9397-08002B2CF9AE}" pid="3" name="MSIP_Label_c5e6e129-f928-4a05-ae32-d838f6b21bdd_Enabled">
    <vt:lpwstr>true</vt:lpwstr>
  </property>
  <property fmtid="{D5CDD505-2E9C-101B-9397-08002B2CF9AE}" pid="4" name="MSIP_Label_c5e6e129-f928-4a05-ae32-d838f6b21bdd_SetDate">
    <vt:lpwstr>2023-05-03T18:05:07Z</vt:lpwstr>
  </property>
  <property fmtid="{D5CDD505-2E9C-101B-9397-08002B2CF9AE}" pid="5" name="MSIP_Label_c5e6e129-f928-4a05-ae32-d838f6b21bdd_Method">
    <vt:lpwstr>Standard</vt:lpwstr>
  </property>
  <property fmtid="{D5CDD505-2E9C-101B-9397-08002B2CF9AE}" pid="6" name="MSIP_Label_c5e6e129-f928-4a05-ae32-d838f6b21bdd_Name">
    <vt:lpwstr>EN Restricted use</vt:lpwstr>
  </property>
  <property fmtid="{D5CDD505-2E9C-101B-9397-08002B2CF9AE}" pid="7" name="MSIP_Label_c5e6e129-f928-4a05-ae32-d838f6b21bdd_SiteId">
    <vt:lpwstr>8b87af7d-8647-4dc7-8df4-5f69a2011bb5</vt:lpwstr>
  </property>
  <property fmtid="{D5CDD505-2E9C-101B-9397-08002B2CF9AE}" pid="8" name="MSIP_Label_c5e6e129-f928-4a05-ae32-d838f6b21bdd_ActionId">
    <vt:lpwstr>adb0330d-cba5-4c33-bb7b-bccdc874c71b</vt:lpwstr>
  </property>
  <property fmtid="{D5CDD505-2E9C-101B-9397-08002B2CF9AE}" pid="9" name="MSIP_Label_c5e6e129-f928-4a05-ae32-d838f6b21bdd_ContentBits">
    <vt:lpwstr>3</vt:lpwstr>
  </property>
</Properties>
</file>